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824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81F0F" w:rsidRPr="00081F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0881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346" w:rsidRPr="00081F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081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081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A1D" w:rsidRPr="00081F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81F0F" w:rsidRPr="00081F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081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985114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05EB">
        <w:rPr>
          <w:rFonts w:ascii="Times New Roman" w:eastAsia="Times New Roman" w:hAnsi="Times New Roman" w:cs="Times New Roman"/>
          <w:sz w:val="28"/>
          <w:szCs w:val="28"/>
        </w:rPr>
        <w:t>3 от 24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05E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>.2020</w:t>
      </w:r>
      <w:proofErr w:type="gramStart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</w:t>
      </w:r>
      <w:r w:rsidR="008C25A8" w:rsidRPr="005F2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89" w:rsidRPr="005F2112">
        <w:rPr>
          <w:rFonts w:ascii="Times New Roman" w:eastAsia="Times New Roman" w:hAnsi="Times New Roman" w:cs="Times New Roman"/>
          <w:sz w:val="28"/>
          <w:szCs w:val="28"/>
        </w:rPr>
        <w:t xml:space="preserve">от 26.12.2019 года № </w:t>
      </w:r>
      <w:r w:rsidR="00974168" w:rsidRPr="005F2112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483A1D" w:rsidRPr="005F2112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47589" w:rsidRPr="005F2112">
        <w:rPr>
          <w:rFonts w:ascii="Times New Roman" w:eastAsia="Times New Roman" w:hAnsi="Times New Roman" w:cs="Times New Roman"/>
          <w:sz w:val="28"/>
          <w:szCs w:val="28"/>
        </w:rPr>
        <w:t>ния Костинский сельсовет на 2020 год и на плановый период 2021</w:t>
      </w:r>
      <w:r w:rsidR="009F2758" w:rsidRPr="005F2112">
        <w:rPr>
          <w:rFonts w:ascii="Times New Roman" w:eastAsia="Times New Roman" w:hAnsi="Times New Roman" w:cs="Times New Roman"/>
          <w:sz w:val="28"/>
          <w:szCs w:val="28"/>
        </w:rPr>
        <w:t xml:space="preserve"> и 2022</w:t>
      </w:r>
      <w:r w:rsidR="00483A1D"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824346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 w:rsidRPr="00081F0F">
        <w:rPr>
          <w:rFonts w:ascii="Times New Roman" w:hAnsi="Times New Roman"/>
          <w:sz w:val="28"/>
          <w:szCs w:val="28"/>
        </w:rPr>
        <w:t>17</w:t>
      </w:r>
      <w:r w:rsidR="00483A1D" w:rsidRPr="00081F0F">
        <w:rPr>
          <w:rFonts w:ascii="Times New Roman" w:hAnsi="Times New Roman"/>
          <w:sz w:val="28"/>
          <w:szCs w:val="28"/>
        </w:rPr>
        <w:t>.</w:t>
      </w:r>
      <w:r w:rsidRPr="00081F0F">
        <w:rPr>
          <w:rFonts w:ascii="Times New Roman" w:hAnsi="Times New Roman"/>
          <w:sz w:val="28"/>
          <w:szCs w:val="28"/>
        </w:rPr>
        <w:t>11</w:t>
      </w:r>
      <w:r w:rsidR="00483A1D" w:rsidRPr="00081F0F">
        <w:rPr>
          <w:rFonts w:ascii="Times New Roman" w:hAnsi="Times New Roman"/>
          <w:sz w:val="28"/>
          <w:szCs w:val="28"/>
        </w:rPr>
        <w:t>.20</w:t>
      </w:r>
      <w:r w:rsidR="004E71CF" w:rsidRPr="00081F0F">
        <w:rPr>
          <w:rFonts w:ascii="Times New Roman" w:hAnsi="Times New Roman"/>
          <w:sz w:val="28"/>
          <w:szCs w:val="28"/>
        </w:rPr>
        <w:t>20</w:t>
      </w:r>
      <w:r w:rsidR="00300881" w:rsidRPr="00081F0F">
        <w:rPr>
          <w:rFonts w:ascii="Times New Roman" w:hAnsi="Times New Roman"/>
          <w:sz w:val="28"/>
          <w:szCs w:val="28"/>
        </w:rPr>
        <w:t xml:space="preserve">  № </w:t>
      </w:r>
      <w:r w:rsidR="00081F0F" w:rsidRPr="00081F0F">
        <w:rPr>
          <w:rFonts w:ascii="Times New Roman" w:hAnsi="Times New Roman"/>
          <w:sz w:val="28"/>
          <w:szCs w:val="28"/>
        </w:rPr>
        <w:t>71</w:t>
      </w:r>
      <w:r w:rsidR="00206C5F" w:rsidRPr="00081F0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 xml:space="preserve">оздание условий для повышения эффективности </w:t>
            </w:r>
            <w:r w:rsidRPr="001A3F48">
              <w:rPr>
                <w:szCs w:val="28"/>
              </w:rPr>
              <w:lastRenderedPageBreak/>
              <w:t>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Выплата государственной пенсии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lastRenderedPageBreak/>
              <w:t>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>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966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657</w:t>
            </w:r>
            <w:r w:rsidRPr="007A38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>
              <w:rPr>
                <w:rFonts w:ascii="Times New Roman" w:hAnsi="Times New Roman"/>
                <w:sz w:val="28"/>
                <w:szCs w:val="28"/>
              </w:rPr>
              <w:t>22</w:t>
            </w:r>
            <w:r w:rsidR="009F2758">
              <w:rPr>
                <w:rFonts w:ascii="Times New Roman" w:hAnsi="Times New Roman"/>
                <w:sz w:val="28"/>
                <w:szCs w:val="28"/>
              </w:rPr>
              <w:t>,</w:t>
            </w:r>
            <w:r w:rsidR="009848EB">
              <w:rPr>
                <w:rFonts w:ascii="Times New Roman" w:hAnsi="Times New Roman"/>
                <w:sz w:val="28"/>
                <w:szCs w:val="28"/>
              </w:rPr>
              <w:t>716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37</w:t>
            </w:r>
            <w:r w:rsidR="009848EB" w:rsidRPr="004E71CF">
              <w:rPr>
                <w:rFonts w:ascii="Times New Roman" w:hAnsi="Times New Roman"/>
                <w:sz w:val="28"/>
                <w:szCs w:val="28"/>
              </w:rPr>
              <w:t>3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585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</w:t>
            </w:r>
            <w:r w:rsidRPr="00B62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55587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AA" w:rsidRPr="00A27254" w:rsidRDefault="00C51EAA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C51EAA" w:rsidP="001C164F">
            <w:pPr>
              <w:rPr>
                <w:rFonts w:ascii="Calibri" w:eastAsia="Times New Roman" w:hAnsi="Calibri" w:cs="Times New Roman"/>
              </w:rPr>
            </w:pP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E71CF" w:rsidP="004E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5587"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 w:rsidRPr="00E55587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402219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FC226B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C164F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</w:tr>
      <w:tr w:rsidR="002D0DEC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1184,272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D0DEC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381B"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8C640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5F2112" w:rsidRDefault="002D0DE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B24AE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1C164F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  <w:r w:rsidR="00FC226B"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FC226B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7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3771B5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F2112" w:rsidRDefault="002D0DE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5F2112">
              <w:rPr>
                <w:rFonts w:ascii="Times New Roman" w:eastAsia="Times New Roman" w:hAnsi="Times New Roman" w:cs="Times New Roman"/>
                <w:lang w:eastAsia="en-US"/>
              </w:rPr>
              <w:t>86</w:t>
            </w:r>
            <w:r w:rsidR="00121072" w:rsidRPr="005F211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lang w:eastAsia="en-US"/>
              </w:rPr>
              <w:t>437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3230,076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1C164F" w:rsidP="00D62130">
            <w:pPr>
              <w:rPr>
                <w:rFonts w:ascii="Times New Roman" w:hAnsi="Times New Roman" w:cs="Times New Roman"/>
              </w:rPr>
            </w:pPr>
            <w:r w:rsidRPr="002D0DEC">
              <w:rPr>
                <w:rFonts w:ascii="Times New Roman" w:hAnsi="Times New Roman" w:cs="Times New Roman"/>
              </w:rPr>
              <w:t>30</w:t>
            </w:r>
            <w:r w:rsidR="00D62130" w:rsidRPr="002D0DEC">
              <w:rPr>
                <w:rFonts w:ascii="Times New Roman" w:hAnsi="Times New Roman" w:cs="Times New Roman"/>
              </w:rPr>
              <w:t>67</w:t>
            </w:r>
            <w:r w:rsidRPr="002D0DEC">
              <w:rPr>
                <w:rFonts w:ascii="Times New Roman" w:hAnsi="Times New Roman" w:cs="Times New Roman"/>
              </w:rPr>
              <w:t>,</w:t>
            </w:r>
            <w:r w:rsidR="00D62130" w:rsidRPr="002D0DEC">
              <w:rPr>
                <w:rFonts w:ascii="Times New Roman" w:hAnsi="Times New Roman" w:cs="Times New Roman"/>
              </w:rPr>
              <w:t>5</w:t>
            </w:r>
            <w:r w:rsidRPr="002D0D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331480" w:rsidRDefault="002D0DE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55" w:type="dxa"/>
          </w:tcPr>
          <w:p w:rsidR="002B329D" w:rsidRPr="00331480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</w:t>
            </w:r>
            <w:r w:rsidR="002B329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</w:tcPr>
          <w:p w:rsidR="002B329D" w:rsidRPr="00331480" w:rsidRDefault="00FC226B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1500,9</w:t>
            </w:r>
          </w:p>
        </w:tc>
        <w:tc>
          <w:tcPr>
            <w:tcW w:w="901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1134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D62130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BE1A22">
            <w:r w:rsidRPr="002D0DEC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BE1A22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1223</w:t>
            </w:r>
            <w:r w:rsidRPr="002D0DEC">
              <w:rPr>
                <w:rFonts w:ascii="Times New Roman" w:eastAsia="Times New Roman" w:hAnsi="Times New Roman" w:cs="Times New Roman"/>
              </w:rPr>
              <w:t>,00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12,109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27504" w:rsidRDefault="008C6406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927504" w:rsidRDefault="008C6406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5F2112" w:rsidRDefault="00913A2B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95,156</w:t>
            </w:r>
          </w:p>
        </w:tc>
        <w:tc>
          <w:tcPr>
            <w:tcW w:w="901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5F2112" w:rsidRDefault="00913A2B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F2112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F2112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5F2112" w:rsidRDefault="00913A2B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5F2112" w:rsidRDefault="00913A2B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E6177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ГО,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55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01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1134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и распространение среди 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927504" w:rsidRDefault="008C6406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1117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927504" w:rsidRDefault="008C6406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1117,00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4C416F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CF50D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  <w:r w:rsidR="002F4433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войны, Родители погибших при 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76B0E" w:rsidRPr="008B24AE">
              <w:rPr>
                <w:rFonts w:ascii="Times New Roman" w:hAnsi="Times New Roman"/>
                <w:sz w:val="28"/>
                <w:szCs w:val="28"/>
              </w:rPr>
              <w:t>312</w:t>
            </w:r>
            <w:r w:rsidR="00E6177E" w:rsidRPr="008B24AE">
              <w:rPr>
                <w:rFonts w:ascii="Times New Roman" w:hAnsi="Times New Roman"/>
                <w:sz w:val="28"/>
                <w:szCs w:val="28"/>
              </w:rPr>
              <w:t>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279,00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1500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,90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E6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>29,546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C164F"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>99,099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>. – 9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22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32,230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26,680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bookmarkStart w:id="0" w:name="_GoBack"/>
            <w:bookmarkEnd w:id="0"/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879,45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2F" w:rsidRDefault="00926E2F" w:rsidP="0087653E">
      <w:pPr>
        <w:spacing w:after="0" w:line="240" w:lineRule="auto"/>
      </w:pPr>
      <w:r>
        <w:separator/>
      </w:r>
    </w:p>
  </w:endnote>
  <w:endnote w:type="continuationSeparator" w:id="0">
    <w:p w:rsidR="00926E2F" w:rsidRDefault="00926E2F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2F" w:rsidRDefault="00926E2F" w:rsidP="0087653E">
      <w:pPr>
        <w:spacing w:after="0" w:line="240" w:lineRule="auto"/>
      </w:pPr>
      <w:r>
        <w:separator/>
      </w:r>
    </w:p>
  </w:footnote>
  <w:footnote w:type="continuationSeparator" w:id="0">
    <w:p w:rsidR="00926E2F" w:rsidRDefault="00926E2F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B39CC"/>
    <w:rsid w:val="001C0A1B"/>
    <w:rsid w:val="001C164F"/>
    <w:rsid w:val="001C6665"/>
    <w:rsid w:val="001D03E6"/>
    <w:rsid w:val="001D4464"/>
    <w:rsid w:val="001E55B8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EC"/>
    <w:rsid w:val="002D5B24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531C"/>
    <w:rsid w:val="004D1D73"/>
    <w:rsid w:val="004E62D8"/>
    <w:rsid w:val="004E71CF"/>
    <w:rsid w:val="004F0DFD"/>
    <w:rsid w:val="004F63B7"/>
    <w:rsid w:val="00502ED9"/>
    <w:rsid w:val="005050F9"/>
    <w:rsid w:val="00507B74"/>
    <w:rsid w:val="00516EE1"/>
    <w:rsid w:val="00520E2E"/>
    <w:rsid w:val="00524E31"/>
    <w:rsid w:val="00531514"/>
    <w:rsid w:val="005344D7"/>
    <w:rsid w:val="00547278"/>
    <w:rsid w:val="00564231"/>
    <w:rsid w:val="00565665"/>
    <w:rsid w:val="005802BE"/>
    <w:rsid w:val="00581864"/>
    <w:rsid w:val="00584D2B"/>
    <w:rsid w:val="005910CA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5F2112"/>
    <w:rsid w:val="00615218"/>
    <w:rsid w:val="006162CA"/>
    <w:rsid w:val="00624936"/>
    <w:rsid w:val="006263F6"/>
    <w:rsid w:val="006475FA"/>
    <w:rsid w:val="00651C4C"/>
    <w:rsid w:val="00660417"/>
    <w:rsid w:val="0066638F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74BD"/>
    <w:rsid w:val="00750762"/>
    <w:rsid w:val="00756E3A"/>
    <w:rsid w:val="00766511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E0E51"/>
    <w:rsid w:val="007E2F75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376A"/>
    <w:rsid w:val="00871717"/>
    <w:rsid w:val="0087653E"/>
    <w:rsid w:val="008874CC"/>
    <w:rsid w:val="00893F23"/>
    <w:rsid w:val="008A7D48"/>
    <w:rsid w:val="008B24AE"/>
    <w:rsid w:val="008B2547"/>
    <w:rsid w:val="008C25A8"/>
    <w:rsid w:val="008C6406"/>
    <w:rsid w:val="008D2E8F"/>
    <w:rsid w:val="008D463D"/>
    <w:rsid w:val="008D7045"/>
    <w:rsid w:val="008E171B"/>
    <w:rsid w:val="008E6B64"/>
    <w:rsid w:val="008F5F8C"/>
    <w:rsid w:val="009005FD"/>
    <w:rsid w:val="00900DB5"/>
    <w:rsid w:val="00912041"/>
    <w:rsid w:val="00913A2B"/>
    <w:rsid w:val="009269F9"/>
    <w:rsid w:val="00926E2F"/>
    <w:rsid w:val="00927504"/>
    <w:rsid w:val="0094449A"/>
    <w:rsid w:val="00947B2E"/>
    <w:rsid w:val="00956EC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7157"/>
    <w:rsid w:val="00A05517"/>
    <w:rsid w:val="00A07DA4"/>
    <w:rsid w:val="00A12454"/>
    <w:rsid w:val="00A25115"/>
    <w:rsid w:val="00A27254"/>
    <w:rsid w:val="00A27B24"/>
    <w:rsid w:val="00A31D63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C3EED"/>
    <w:rsid w:val="00AD5392"/>
    <w:rsid w:val="00AE45EB"/>
    <w:rsid w:val="00B0179D"/>
    <w:rsid w:val="00B05AE7"/>
    <w:rsid w:val="00B2426D"/>
    <w:rsid w:val="00B36BF2"/>
    <w:rsid w:val="00B424E6"/>
    <w:rsid w:val="00B47143"/>
    <w:rsid w:val="00B47BBB"/>
    <w:rsid w:val="00B52381"/>
    <w:rsid w:val="00B86EF7"/>
    <w:rsid w:val="00B92F22"/>
    <w:rsid w:val="00BD0FDC"/>
    <w:rsid w:val="00BD5080"/>
    <w:rsid w:val="00BE1A22"/>
    <w:rsid w:val="00BF1FFC"/>
    <w:rsid w:val="00BF25CA"/>
    <w:rsid w:val="00BF4567"/>
    <w:rsid w:val="00BF593A"/>
    <w:rsid w:val="00C04E96"/>
    <w:rsid w:val="00C51EAA"/>
    <w:rsid w:val="00C66FD1"/>
    <w:rsid w:val="00C67826"/>
    <w:rsid w:val="00C941FF"/>
    <w:rsid w:val="00CA3A3F"/>
    <w:rsid w:val="00CC0551"/>
    <w:rsid w:val="00CD1764"/>
    <w:rsid w:val="00CD5375"/>
    <w:rsid w:val="00CE1A4C"/>
    <w:rsid w:val="00CF50DC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6F1C"/>
    <w:rsid w:val="00DB1223"/>
    <w:rsid w:val="00DB1DB9"/>
    <w:rsid w:val="00DC1C70"/>
    <w:rsid w:val="00DD2610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33E54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F00B9A"/>
    <w:rsid w:val="00F146B4"/>
    <w:rsid w:val="00F2408B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59AE"/>
    <w:rsid w:val="00F86C65"/>
    <w:rsid w:val="00F93F6C"/>
    <w:rsid w:val="00F975F4"/>
    <w:rsid w:val="00FB231D"/>
    <w:rsid w:val="00FB6431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9916-1993-48CE-9FCB-47E8DBD5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12331</Words>
  <Characters>70287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2020-09-24T11:11:00Z</cp:lastPrinted>
  <dcterms:created xsi:type="dcterms:W3CDTF">2020-11-16T11:46:00Z</dcterms:created>
  <dcterms:modified xsi:type="dcterms:W3CDTF">2020-11-17T04:54:00Z</dcterms:modified>
</cp:coreProperties>
</file>