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устройство, а при наличииувеличение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</w:t>
      </w:r>
      <w:proofErr w:type="gramStart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 населенных пунктах в целях противопожарной пропаганды среди населения по вопросам профилактики пожаров в лесах</w:t>
      </w:r>
      <w:proofErr w:type="gramEnd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и населенных пунктах, 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</w:p>
    <w:p w:rsidR="007B713C" w:rsidRPr="00D80691" w:rsidRDefault="007B713C" w:rsidP="007B713C">
      <w:pPr>
        <w:pStyle w:val="a3"/>
        <w:shd w:val="clear" w:color="auto" w:fill="FFFFFF"/>
        <w:jc w:val="both"/>
        <w:rPr>
          <w:color w:val="222222"/>
          <w:sz w:val="28"/>
        </w:rPr>
      </w:pP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914F4F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914F4F">
        <w:rPr>
          <w:rFonts w:ascii="Times New Roman" w:hAnsi="Times New Roman" w:cs="Times New Roman"/>
          <w:b/>
          <w:color w:val="000000"/>
          <w:szCs w:val="28"/>
        </w:rPr>
        <w:t>Обучение, подготовка, повышение</w:t>
      </w:r>
    </w:p>
    <w:p w:rsidR="00D80691" w:rsidRPr="00914F4F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914F4F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932D77" w:rsidRPr="00A562E4" w:rsidRDefault="00932D77" w:rsidP="003E7E3E">
      <w:pPr>
        <w:pStyle w:val="msoaddress"/>
        <w:widowControl w:val="0"/>
        <w:rPr>
          <w:rFonts w:eastAsiaTheme="minorEastAsia"/>
          <w:color w:val="E36C0A"/>
          <w:kern w:val="0"/>
          <w:sz w:val="22"/>
          <w:szCs w:val="28"/>
        </w:rPr>
      </w:pPr>
    </w:p>
    <w:p w:rsidR="003E7E3E" w:rsidRPr="00F82612" w:rsidRDefault="003E7E3E" w:rsidP="003E7E3E">
      <w:pPr>
        <w:pStyle w:val="msoaddress"/>
        <w:widowControl w:val="0"/>
        <w:rPr>
          <w:i/>
          <w:color w:val="auto"/>
          <w:sz w:val="24"/>
          <w:szCs w:val="28"/>
        </w:rPr>
      </w:pPr>
      <w:r w:rsidRPr="00F82612">
        <w:rPr>
          <w:i/>
          <w:color w:val="auto"/>
          <w:sz w:val="24"/>
          <w:szCs w:val="28"/>
          <w:lang w:val="en-US"/>
        </w:rPr>
        <w:t>c</w:t>
      </w:r>
      <w:r w:rsidR="00A562E4" w:rsidRPr="00F82612">
        <w:rPr>
          <w:i/>
          <w:color w:val="auto"/>
          <w:sz w:val="24"/>
          <w:szCs w:val="28"/>
        </w:rPr>
        <w:t>.</w:t>
      </w:r>
      <w:proofErr w:type="spellStart"/>
      <w:r w:rsidR="00A562E4" w:rsidRPr="00F82612">
        <w:rPr>
          <w:i/>
          <w:color w:val="auto"/>
          <w:sz w:val="24"/>
          <w:szCs w:val="28"/>
        </w:rPr>
        <w:t>Курман</w:t>
      </w:r>
      <w:r w:rsidRPr="00F82612">
        <w:rPr>
          <w:i/>
          <w:color w:val="auto"/>
          <w:sz w:val="24"/>
          <w:szCs w:val="28"/>
        </w:rPr>
        <w:t>аевка</w:t>
      </w:r>
      <w:proofErr w:type="spellEnd"/>
      <w:r w:rsidRPr="00F82612">
        <w:rPr>
          <w:i/>
          <w:color w:val="auto"/>
          <w:sz w:val="24"/>
          <w:szCs w:val="28"/>
        </w:rPr>
        <w:t xml:space="preserve">, </w:t>
      </w:r>
      <w:r w:rsidR="0026770C" w:rsidRPr="00F82612">
        <w:rPr>
          <w:i/>
          <w:color w:val="auto"/>
          <w:sz w:val="24"/>
          <w:szCs w:val="28"/>
        </w:rPr>
        <w:t>пл.Ле</w:t>
      </w:r>
      <w:r w:rsidRPr="00F82612">
        <w:rPr>
          <w:i/>
          <w:color w:val="auto"/>
          <w:sz w:val="24"/>
          <w:szCs w:val="28"/>
        </w:rPr>
        <w:t>нина, 1</w:t>
      </w:r>
    </w:p>
    <w:p w:rsidR="00421E1D" w:rsidRPr="00F82612" w:rsidRDefault="00CF1C7D" w:rsidP="003E7E3E">
      <w:pPr>
        <w:pStyle w:val="msoaddress"/>
        <w:widowControl w:val="0"/>
        <w:rPr>
          <w:i/>
          <w:color w:val="auto"/>
          <w:sz w:val="24"/>
          <w:szCs w:val="28"/>
          <w:shd w:val="clear" w:color="auto" w:fill="FFFFFF"/>
        </w:rPr>
      </w:pPr>
      <w:r w:rsidRPr="00F82612">
        <w:rPr>
          <w:i/>
          <w:color w:val="auto"/>
          <w:sz w:val="24"/>
          <w:szCs w:val="28"/>
          <w:shd w:val="clear" w:color="auto" w:fill="FFFFFF"/>
        </w:rPr>
        <w:t>Единая дежурно - диспетчерская служба:</w:t>
      </w:r>
    </w:p>
    <w:p w:rsidR="00CF1C7D" w:rsidRPr="00F82612" w:rsidRDefault="00CF1C7D" w:rsidP="003E7E3E">
      <w:pPr>
        <w:pStyle w:val="msoaddress"/>
        <w:widowControl w:val="0"/>
        <w:rPr>
          <w:i/>
          <w:color w:val="auto"/>
          <w:sz w:val="24"/>
          <w:szCs w:val="28"/>
        </w:rPr>
      </w:pPr>
      <w:r w:rsidRPr="00F82612">
        <w:rPr>
          <w:i/>
          <w:color w:val="auto"/>
          <w:sz w:val="24"/>
          <w:szCs w:val="28"/>
          <w:shd w:val="clear" w:color="auto" w:fill="FFFFFF"/>
        </w:rPr>
        <w:t>2-23-90</w:t>
      </w:r>
    </w:p>
    <w:p w:rsidR="003E7E3E" w:rsidRPr="003E7E3E" w:rsidRDefault="003E7E3E" w:rsidP="003E7E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82612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Пожарно - спасательная</w:t>
      </w:r>
      <w:proofErr w:type="gramEnd"/>
      <w:r w:rsidRPr="00F82612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часть: Телефон: 01,</w:t>
      </w:r>
      <w:r w:rsidR="006E1060" w:rsidRPr="00F82612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101,</w:t>
      </w:r>
      <w:bookmarkStart w:id="0" w:name="_GoBack"/>
      <w:bookmarkEnd w:id="0"/>
      <w:r w:rsidRPr="00F82612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2-13-99</w:t>
      </w:r>
      <w:r w:rsidRPr="00F82612">
        <w:rPr>
          <w:rFonts w:ascii="Times New Roman" w:hAnsi="Times New Roman" w:cs="Times New Roman"/>
          <w:i/>
          <w:sz w:val="28"/>
          <w:szCs w:val="28"/>
        </w:rPr>
        <w:br/>
      </w:r>
      <w:r w:rsidRPr="008D22E1">
        <w:rPr>
          <w:noProof/>
          <w:sz w:val="28"/>
          <w:szCs w:val="28"/>
        </w:rPr>
        <w:br/>
      </w:r>
    </w:p>
    <w:p w:rsidR="003E7E3E" w:rsidRPr="003E7E3E" w:rsidRDefault="003E7E3E" w:rsidP="003E7E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E3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Администрация Курманаевского района</w:t>
      </w:r>
    </w:p>
    <w:p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631A72" w:rsidP="00467BA8">
      <w:pPr>
        <w:pStyle w:val="a7"/>
        <w:ind w:left="284" w:right="-31" w:firstLine="0"/>
        <w:rPr>
          <w:b/>
          <w:color w:val="0000FF"/>
          <w:sz w:val="32"/>
        </w:rPr>
      </w:pPr>
      <w:r w:rsidRPr="00631A7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7.6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C77CFD" w:rsidRDefault="00C77CFD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21E1D" w:rsidRDefault="00421E1D" w:rsidP="003E7E3E">
      <w:pPr>
        <w:tabs>
          <w:tab w:val="left" w:pos="0"/>
        </w:tabs>
        <w:spacing w:after="0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E3E" w:rsidRDefault="003E7E3E" w:rsidP="003E7E3E">
      <w:pPr>
        <w:tabs>
          <w:tab w:val="left" w:pos="0"/>
        </w:tabs>
        <w:spacing w:after="0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Курманаевка</w:t>
      </w:r>
      <w:proofErr w:type="spellEnd"/>
    </w:p>
    <w:p w:rsidR="003E7E3E" w:rsidRPr="003E7E3E" w:rsidRDefault="003E7E3E" w:rsidP="003E7E3E">
      <w:pPr>
        <w:tabs>
          <w:tab w:val="left" w:pos="0"/>
        </w:tabs>
        <w:spacing w:after="0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E3E">
        <w:rPr>
          <w:rFonts w:ascii="Times New Roman" w:hAnsi="Times New Roman" w:cs="Times New Roman"/>
          <w:b/>
          <w:sz w:val="28"/>
          <w:szCs w:val="28"/>
        </w:rPr>
        <w:t>2020</w:t>
      </w:r>
    </w:p>
    <w:p w:rsidR="00D80691" w:rsidRPr="00D80691" w:rsidRDefault="00D80691" w:rsidP="003E7E3E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3C"/>
    <w:rsid w:val="0008777B"/>
    <w:rsid w:val="000F157C"/>
    <w:rsid w:val="0026770C"/>
    <w:rsid w:val="00271869"/>
    <w:rsid w:val="00317421"/>
    <w:rsid w:val="003B31DF"/>
    <w:rsid w:val="003E7E3E"/>
    <w:rsid w:val="00421E1D"/>
    <w:rsid w:val="00467BA8"/>
    <w:rsid w:val="00526074"/>
    <w:rsid w:val="00623A16"/>
    <w:rsid w:val="0063108B"/>
    <w:rsid w:val="00631A72"/>
    <w:rsid w:val="006E1060"/>
    <w:rsid w:val="007B713C"/>
    <w:rsid w:val="007C057B"/>
    <w:rsid w:val="0081529B"/>
    <w:rsid w:val="00826371"/>
    <w:rsid w:val="008338A7"/>
    <w:rsid w:val="00914F4F"/>
    <w:rsid w:val="00932D77"/>
    <w:rsid w:val="009C1B14"/>
    <w:rsid w:val="00A27579"/>
    <w:rsid w:val="00A5333D"/>
    <w:rsid w:val="00A562E4"/>
    <w:rsid w:val="00A94EC4"/>
    <w:rsid w:val="00AD44C8"/>
    <w:rsid w:val="00AD49D5"/>
    <w:rsid w:val="00BA405D"/>
    <w:rsid w:val="00C043E7"/>
    <w:rsid w:val="00C77CFD"/>
    <w:rsid w:val="00C93DB3"/>
    <w:rsid w:val="00C97234"/>
    <w:rsid w:val="00CF0F66"/>
    <w:rsid w:val="00CF1C7D"/>
    <w:rsid w:val="00D80691"/>
    <w:rsid w:val="00E96008"/>
    <w:rsid w:val="00F8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  <w:style w:type="paragraph" w:customStyle="1" w:styleId="msoaddress">
    <w:name w:val="msoaddress"/>
    <w:rsid w:val="003E7E3E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MZS</cp:lastModifiedBy>
  <cp:revision>21</cp:revision>
  <dcterms:created xsi:type="dcterms:W3CDTF">2017-11-28T07:47:00Z</dcterms:created>
  <dcterms:modified xsi:type="dcterms:W3CDTF">2020-07-31T04:35:00Z</dcterms:modified>
</cp:coreProperties>
</file>